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10" w:rsidRPr="009E2410" w:rsidRDefault="009E2410" w:rsidP="009E2410">
      <w:pPr>
        <w:shd w:val="clear" w:color="auto" w:fill="F7F7F7"/>
        <w:spacing w:before="570" w:after="540" w:line="900" w:lineRule="atLeast"/>
        <w:outlineLvl w:val="0"/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</w:pPr>
      <w:proofErr w:type="spellStart"/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Hyperbook</w:t>
      </w:r>
      <w:proofErr w:type="spellEnd"/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</w:t>
      </w:r>
      <w:r w:rsidRPr="009041D3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prezentuje  laptop </w:t>
      </w:r>
      <w:r w:rsidR="00C37757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NV14 dla graczy i  profesjonalistów</w:t>
      </w:r>
    </w:p>
    <w:p w:rsidR="009E2410" w:rsidRPr="009E2410" w:rsidRDefault="009E2410" w:rsidP="009E2410">
      <w:pPr>
        <w:shd w:val="clear" w:color="auto" w:fill="F7F7F7"/>
        <w:spacing w:line="540" w:lineRule="atLeast"/>
        <w:rPr>
          <w:rFonts w:ascii="Lato" w:eastAsia="Times New Roman" w:hAnsi="Lato" w:cs="Lato"/>
          <w:color w:val="333333"/>
          <w:spacing w:val="15"/>
          <w:sz w:val="36"/>
          <w:szCs w:val="36"/>
          <w:lang w:eastAsia="pl-PL"/>
        </w:rPr>
      </w:pPr>
      <w:proofErr w:type="spellStart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wprowadza do swojej oferty model</w:t>
      </w:r>
      <w:r w:rsidR="00C37757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Pulsar NV4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wyposażon</w:t>
      </w:r>
      <w:r w:rsidR="00C37757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y w kartę graficzną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NVIDIA </w:t>
      </w:r>
      <w:proofErr w:type="spellStart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GeForce</w:t>
      </w:r>
      <w:proofErr w:type="spellEnd"/>
      <w:r w:rsidR="00C37757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G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TX </w:t>
      </w:r>
      <w:r w:rsidR="00C37757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1650Ti i matrycę z certyfikatem </w:t>
      </w:r>
      <w:proofErr w:type="spellStart"/>
      <w:r w:rsidR="00C37757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Pantone</w:t>
      </w:r>
      <w:proofErr w:type="spellEnd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.</w:t>
      </w:r>
    </w:p>
    <w:p w:rsidR="009E2410" w:rsidRPr="009E2410" w:rsidRDefault="00C37757" w:rsidP="009E2410">
      <w:pPr>
        <w:shd w:val="clear" w:color="auto" w:fill="F7F7F7"/>
        <w:spacing w:after="150" w:line="240" w:lineRule="auto"/>
        <w:rPr>
          <w:rFonts w:ascii="Lato" w:eastAsia="Times New Roman" w:hAnsi="Lato" w:cs="Lato"/>
          <w:color w:val="333333"/>
          <w:sz w:val="21"/>
          <w:szCs w:val="21"/>
          <w:lang w:eastAsia="pl-PL"/>
        </w:rPr>
      </w:pPr>
      <w:r>
        <w:rPr>
          <w:rFonts w:ascii="Lato" w:eastAsia="Times New Roman" w:hAnsi="Lato" w:cs="Lato"/>
          <w:noProof/>
          <w:color w:val="333333"/>
          <w:sz w:val="21"/>
          <w:szCs w:val="21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45pt;height:154.85pt">
            <v:imagedata r:id="rId4" o:title="NV4"/>
          </v:shape>
        </w:pict>
      </w:r>
    </w:p>
    <w:p w:rsidR="00D11E55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  <w:r w:rsidR="00C3775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Pulsar </w:t>
      </w:r>
      <w:hyperlink r:id="rId5" w:history="1">
        <w:r w:rsidR="00C37757">
          <w:rPr>
            <w:rStyle w:val="Hipercze"/>
            <w:rFonts w:ascii="Lato" w:eastAsia="Times New Roman" w:hAnsi="Lato" w:cs="Lato"/>
            <w:sz w:val="27"/>
            <w:szCs w:val="27"/>
            <w:lang w:eastAsia="pl-PL"/>
          </w:rPr>
          <w:t>NV14</w:t>
        </w:r>
      </w:hyperlink>
      <w:r w:rsidR="00C37757">
        <w:rPr>
          <w:rStyle w:val="Hipercze"/>
          <w:rFonts w:ascii="Lato" w:eastAsia="Times New Roman" w:hAnsi="Lato" w:cs="Lato"/>
          <w:sz w:val="27"/>
          <w:szCs w:val="27"/>
          <w:lang w:eastAsia="pl-PL"/>
        </w:rPr>
        <w:t xml:space="preserve">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D11E5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świetna, uniwersalna maszyna, która sprawdzi się w każdym zastosowaniu. Wydajna grafika NCIDIA GTX 1650Ti umożliwia komfortową grę, wydajny procesor i wysokiej klasy matryca sprawdzą się w zastosowaniach profesjonalnych, a niewielki rozmiar związany z zastosowaniem 14-calowej matrycy (grubość do 18 mm) i niska waga (niecałe 1,4 kg) znacząco poprawiaj mobilność. 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Komputer p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rzeznaczon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y jest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dla wymagających graczy, którym zależy jednocześnie na mobilności i szukają wydajnego ale i stosunkowo 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kompaktowego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komputera. </w:t>
      </w:r>
    </w:p>
    <w:p w:rsidR="00D11E55" w:rsidRDefault="00D11E55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E2410" w:rsidRPr="009E2410" w:rsidRDefault="0059228A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Karta graficzna NVIDIA </w:t>
      </w: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D4305E">
        <w:rPr>
          <w:rFonts w:ascii="Lato" w:eastAsia="Times New Roman" w:hAnsi="Lato" w:cs="Lato"/>
          <w:color w:val="333333"/>
          <w:sz w:val="27"/>
          <w:szCs w:val="27"/>
          <w:lang w:eastAsia="pl-PL"/>
        </w:rPr>
        <w:t>G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TX </w:t>
      </w:r>
      <w:r w:rsidR="00D4305E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1650Ti mimo, że nie należy do najnowszych modeli nadal oferuje wystarczającą wydajność do komfortowego grania w rozdzielczości Full HD, oraz wsparcie w aplikacjach </w:t>
      </w:r>
      <w:r w:rsidR="00D4305E">
        <w:rPr>
          <w:rFonts w:ascii="Lato" w:eastAsia="Times New Roman" w:hAnsi="Lato" w:cs="Lato"/>
          <w:color w:val="333333"/>
          <w:sz w:val="27"/>
          <w:szCs w:val="27"/>
          <w:lang w:eastAsia="pl-PL"/>
        </w:rPr>
        <w:lastRenderedPageBreak/>
        <w:t xml:space="preserve">profesjonalnych. A przy tym jest zauważalnie tańsza od najnowszych modeli, co korzystnie wpływa na cenę laptopa.  </w:t>
      </w:r>
    </w:p>
    <w:p w:rsidR="009E2410" w:rsidRPr="009E2410" w:rsidRDefault="00FB668E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Użytkownik ma do wyboru dwa modele procesora 11-tej generacji: Intel i5-11357G7 lub i7-1165G7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oba 4 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rdzeni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owe i 16 wątkowe. 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Zapewnia</w:t>
      </w:r>
      <w:bookmarkStart w:id="0" w:name="_GoBack"/>
      <w:bookmarkEnd w:id="0"/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to wystarczająca moc obliczeniową w wypadku gier, zastosowań biurowych i wielu aplikacji profesjonalnych. </w:t>
      </w:r>
    </w:p>
    <w:p w:rsidR="003125E7" w:rsidRDefault="003125E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Mocna stroną N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V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14 jest ekran.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4-calowa matryca oferuje rozsądny kompromis pomiędzy wygodą użytkowania a mobilnością i małymi rozmiarami laptopa. 9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0 % pokrycie przestrzeni barwnej </w:t>
      </w:r>
      <w:proofErr w:type="spellStart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 certyfikat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Pantone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gwarantują wysoką wierność reprodukowanych barw co ma duże znacznie dla profesjonalistów pracujących z grafiką. </w:t>
      </w:r>
    </w:p>
    <w:p w:rsidR="003125E7" w:rsidRPr="009E2410" w:rsidRDefault="003125E7" w:rsidP="003125E7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Niewielka waga (poniżej 1,4 kg) i grubość (18 mm) laptopa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NV14 sprawiają, że urządzenie przypadnie do gustu także tym użytkownikom, dla których najważniejsza jest mobilność laptopa w połączeniu z wysoką wydajnością.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Standardowo, jak wszystkie modele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można wybrać wersję bazową lub skonfigurować komputer stosownie do swoich potrzeb.</w:t>
      </w:r>
    </w:p>
    <w:p w:rsidR="003125E7" w:rsidRDefault="003125E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Aktualnie 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można zamawiać w przedsprzedaży, a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realizacja zamówień nastąpi od 8 marca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</w:p>
    <w:p w:rsidR="009E2410" w:rsidRPr="009E2410" w:rsidRDefault="003125E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Pulsar NV14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procesor Intel i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5-1135G7 lub i7-1165G7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(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>4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rdzeni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>e, 8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wątków)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karta graficzna NVIDIA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>G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TX 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>1650Ti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-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ekran 1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>4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” </w:t>
      </w:r>
      <w:r w:rsidR="003125E7">
        <w:rPr>
          <w:rFonts w:ascii="Lato" w:eastAsia="Times New Roman" w:hAnsi="Lato" w:cs="Lato"/>
          <w:color w:val="333333"/>
          <w:sz w:val="27"/>
          <w:szCs w:val="27"/>
          <w:lang w:eastAsia="pl-PL"/>
        </w:rPr>
        <w:t>F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HD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IPS z pokryciem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9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0%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 certyfikatem </w:t>
      </w:r>
      <w:proofErr w:type="spellStart"/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Pantone</w:t>
      </w:r>
      <w:proofErr w:type="spellEnd"/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waga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39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kg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możliwość skonfigurowania pozostałych podzespołów (pamięć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8-64 GB DDR4 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3200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MHz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dys</w:t>
      </w:r>
      <w:r w:rsidR="000B21F3">
        <w:rPr>
          <w:rFonts w:ascii="Lato" w:eastAsia="Times New Roman" w:hAnsi="Lato" w:cs="Lato"/>
          <w:color w:val="333333"/>
          <w:sz w:val="27"/>
          <w:szCs w:val="27"/>
          <w:lang w:eastAsia="pl-PL"/>
        </w:rPr>
        <w:t>k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SSD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M.2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 karta sieciowa, itd.)</w:t>
      </w:r>
    </w:p>
    <w:p w:rsidR="009E2410" w:rsidRPr="009E2410" w:rsidRDefault="000B21F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Cena: od 3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999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zł</w:t>
      </w:r>
    </w:p>
    <w:p w:rsidR="006E2AA0" w:rsidRPr="009041D3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041D3" w:rsidRPr="009041D3" w:rsidRDefault="009041D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Promocja „SZCZEPIONKA”</w:t>
      </w:r>
    </w:p>
    <w:p w:rsidR="009041D3" w:rsidRPr="009E2410" w:rsidRDefault="000B21F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L</w:t>
      </w:r>
      <w:r w:rsid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aptop bi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erze</w:t>
      </w:r>
      <w:r w:rsid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udział w promocji, w ramach której nabywca każdego laptopa może otrzymać gratis roczną licencję (na trzy stanowiska) programu antywirusowego Norton for </w:t>
      </w:r>
      <w:proofErr w:type="spellStart"/>
      <w:r w:rsid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Gamers</w:t>
      </w:r>
      <w:proofErr w:type="spellEnd"/>
      <w:r w:rsid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Aby otrzymać program wystarczy przy </w:t>
      </w:r>
      <w:r w:rsid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lastRenderedPageBreak/>
        <w:t>składaniu zamówienia w pole przeznaczona na kod rabatowy wpisać hasło SZCZEPIONKA. Ilość pakietów promocyjnych ograniczona.</w:t>
      </w:r>
    </w:p>
    <w:sectPr w:rsidR="009041D3" w:rsidRPr="009E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0B21F3"/>
    <w:rsid w:val="002600CB"/>
    <w:rsid w:val="003125E7"/>
    <w:rsid w:val="0059228A"/>
    <w:rsid w:val="006E2AA0"/>
    <w:rsid w:val="009041D3"/>
    <w:rsid w:val="009E2410"/>
    <w:rsid w:val="00A3399A"/>
    <w:rsid w:val="00C37757"/>
    <w:rsid w:val="00CC7621"/>
    <w:rsid w:val="00D11E55"/>
    <w:rsid w:val="00D4226B"/>
    <w:rsid w:val="00D4305E"/>
    <w:rsid w:val="00E965AD"/>
    <w:rsid w:val="00EA66BA"/>
    <w:rsid w:val="00F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822C-5B6F-4366-B020-03B127A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4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7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4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yperbook.pl/nv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2021-02-22T10:55:00Z</dcterms:created>
  <dcterms:modified xsi:type="dcterms:W3CDTF">2021-02-22T16:06:00Z</dcterms:modified>
</cp:coreProperties>
</file>