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9E2410" w:rsidRDefault="009E2410" w:rsidP="009E2410">
      <w:pPr>
        <w:shd w:val="clear" w:color="auto" w:fill="F7F7F7"/>
        <w:spacing w:before="570" w:after="540" w:line="900" w:lineRule="atLeast"/>
        <w:outlineLvl w:val="0"/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</w:pPr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Hyperbook 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prezentuje nową wersję</w:t>
      </w:r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laptop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a dla graczy</w:t>
      </w:r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</w:t>
      </w:r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V15 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z mocniejszym</w:t>
      </w:r>
      <w:r w:rsidR="009A0DB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i procesora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m</w:t>
      </w:r>
      <w:r w:rsidR="009A0DB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i: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</w:t>
      </w:r>
      <w:r w:rsidR="009A0DB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Core </w:t>
      </w:r>
      <w:r w:rsidR="0079360A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i7-11800H</w:t>
      </w:r>
      <w:r w:rsidR="009A0DB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i Ryzen R9 5900HX</w:t>
      </w:r>
    </w:p>
    <w:p w:rsidR="009E2410" w:rsidRPr="009E2410" w:rsidRDefault="009E2410" w:rsidP="009E2410">
      <w:pPr>
        <w:shd w:val="clear" w:color="auto" w:fill="F7F7F7"/>
        <w:spacing w:line="540" w:lineRule="atLeast"/>
        <w:rPr>
          <w:rFonts w:ascii="Lato" w:eastAsia="Times New Roman" w:hAnsi="Lato" w:cs="Lato"/>
          <w:color w:val="333333"/>
          <w:spacing w:val="15"/>
          <w:sz w:val="36"/>
          <w:szCs w:val="36"/>
          <w:lang w:eastAsia="pl-PL"/>
        </w:rPr>
      </w:pP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Hyperbook wprowadza do swojej oferty 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mocniejsza  e konfigurację modelu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Pulsar V15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. Wersje z kartami 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NVIDIA GeForce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RTX 3060 lub RTX 308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0 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można teraz wyposażyć w </w:t>
      </w:r>
      <w:r w:rsidR="003263C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świetny 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procesor 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Intel i7-1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1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8</w:t>
      </w:r>
      <w:r w:rsidR="0079360A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00</w:t>
      </w:r>
      <w:r w:rsidR="009A0DB0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H lub AMD R9 5900HX</w:t>
      </w:r>
    </w:p>
    <w:p w:rsidR="009E2410" w:rsidRPr="009E2410" w:rsidRDefault="009A0DB0" w:rsidP="009E2410">
      <w:pPr>
        <w:shd w:val="clear" w:color="auto" w:fill="F7F7F7"/>
        <w:spacing w:after="150" w:line="240" w:lineRule="auto"/>
        <w:rPr>
          <w:rFonts w:ascii="Lato" w:eastAsia="Times New Roman" w:hAnsi="Lato" w:cs="Lato"/>
          <w:color w:val="333333"/>
          <w:sz w:val="21"/>
          <w:szCs w:val="21"/>
          <w:lang w:eastAsia="pl-PL"/>
        </w:rPr>
      </w:pPr>
      <w:r>
        <w:rPr>
          <w:rFonts w:ascii="Lato" w:eastAsia="Times New Roman" w:hAnsi="Lato" w:cs="Lato"/>
          <w:noProof/>
          <w:color w:val="333333"/>
          <w:sz w:val="21"/>
          <w:szCs w:val="21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6pt;height:154.8pt">
            <v:imagedata r:id="rId4" o:title="V15 RTX"/>
          </v:shape>
        </w:pic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Laptop Hyperbook </w:t>
      </w:r>
      <w:hyperlink r:id="rId5" w:history="1">
        <w:r w:rsidRPr="009041D3">
          <w:rPr>
            <w:rStyle w:val="Hyperlink"/>
            <w:rFonts w:ascii="Lato" w:eastAsia="Times New Roman" w:hAnsi="Lato" w:cs="Lato"/>
            <w:sz w:val="27"/>
            <w:szCs w:val="27"/>
            <w:lang w:eastAsia="pl-PL"/>
          </w:rPr>
          <w:t>V15</w:t>
        </w:r>
      </w:hyperlink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79360A">
        <w:rPr>
          <w:rFonts w:ascii="Lato" w:eastAsia="Times New Roman" w:hAnsi="Lato" w:cs="Lato"/>
          <w:color w:val="333333"/>
          <w:sz w:val="27"/>
          <w:szCs w:val="27"/>
          <w:lang w:eastAsia="pl-PL"/>
        </w:rPr>
        <w:t>to sprzęt dla wymagającego gracza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który</w:t>
      </w:r>
      <w:r w:rsidR="0079360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szuka jednocześnie wydajności i mobilności. Oba te postulaty realizuje właśnie V15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79360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Najnowszy procesor i7 z 11 generacji układów Intela – i7-11800H (Tiger Lake-H) 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>lub AMD Ryzne R9 5900HX dysponują</w:t>
      </w:r>
      <w:r w:rsidR="0079360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 rdzeniami i 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są </w:t>
      </w:r>
      <w:r w:rsidR="0079360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 stanie przetwarzac do 16 wątków jednocześnie. 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>Mogą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współpracować z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64 GB pamięci DDR4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taktowanej 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>zegarem 3200 MHz i  wydajną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karta graficzna NVIDIA GeForce RTX 3060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308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0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(w wypadku CPU Intela) lub RTX 3070 (w wypadku CPU AMD)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>Laptop ma lekką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 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mocną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magnezową obudowę o grubości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nie przekraczając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ej 2 cm i wadze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1,7 kg (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>z baterią o pojemności 62 Wh)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9E2410" w:rsidRDefault="0059228A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TGP w wypadku kart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>y RTX 3060 wynosi 115 W, a dla RTX 30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>70 i 3080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– 125 W.</w:t>
      </w:r>
    </w:p>
    <w:p w:rsidR="003263CA" w:rsidRPr="009E2410" w:rsidRDefault="003263CA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3263CA" w:rsidRDefault="00317343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Pulsar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V15 oferowany jest z matrycą 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IPS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o przekątnej 15,6 cala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 rozdzielczości QHD (2560x1440) i częstotliwości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odświeżania do 165 Hz, oraz 100-procentowym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przestrzeni barwnej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sRGB. G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warantuje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doskonałe odwzorowanie kolorów, szerokie kąty widzenia i wysoką responsywność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grach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</w:p>
    <w:p w:rsidR="00656D84" w:rsidRPr="009E2410" w:rsidRDefault="006E2AA0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Gamingowym akcentem obu komputerów jest podświetlana w 16,7 mln kolorów klawiatura, jednak przeciwnicy takiego ozdobnika bez problemu mogą ustawić mniej rzucający się w oczy kolor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, czy wręcz wyłączyć podświetlenie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Standardowo, jak wszystkie modele Hyperbook można wybrać wersję bazową lub skonfigurować komputer stosownie do swoich potrzeb.</w:t>
      </w:r>
    </w:p>
    <w:p w:rsidR="00656D84" w:rsidRDefault="00656D84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 Pulsar V15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i7-1087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 (8 rdzeni, 16 wątków)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karta graficzna NVIDIA GeForce RTX 3060 6GB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0 8GB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3070 8 GB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 ekran 15,6”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QHD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65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Hz IPS z pokryciem sRGB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10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</w:t>
      </w: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Cena: od 6999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zł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(RTX 3060),</w:t>
      </w:r>
      <w:r w:rsidR="003263CA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od 10699 zł (RTX 3080)</w:t>
      </w:r>
      <w:r w:rsidR="009A0DB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od 8799 zł (RTX 3070)</w:t>
      </w:r>
      <w:bookmarkStart w:id="0" w:name="_GoBack"/>
      <w:bookmarkEnd w:id="0"/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sectPr w:rsidR="006E2AA0" w:rsidRPr="0090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2600CB"/>
    <w:rsid w:val="00317343"/>
    <w:rsid w:val="003263CA"/>
    <w:rsid w:val="0059228A"/>
    <w:rsid w:val="00656D84"/>
    <w:rsid w:val="006E2AA0"/>
    <w:rsid w:val="0079360A"/>
    <w:rsid w:val="008B37E3"/>
    <w:rsid w:val="009041D3"/>
    <w:rsid w:val="009A0DB0"/>
    <w:rsid w:val="009E2410"/>
    <w:rsid w:val="00A3399A"/>
    <w:rsid w:val="00CC7621"/>
    <w:rsid w:val="00D4226B"/>
    <w:rsid w:val="00E965AD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9E2410"/>
    <w:rPr>
      <w:i/>
      <w:iCs/>
    </w:rPr>
  </w:style>
  <w:style w:type="character" w:styleId="Hyperlink">
    <w:name w:val="Hyperlink"/>
    <w:basedOn w:val="DefaultParagraphFont"/>
    <w:uiPriority w:val="99"/>
    <w:unhideWhenUsed/>
    <w:rsid w:val="009E24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24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yperbook.pl/v15-amper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 k</cp:lastModifiedBy>
  <cp:revision>9</cp:revision>
  <dcterms:created xsi:type="dcterms:W3CDTF">2021-02-22T10:55:00Z</dcterms:created>
  <dcterms:modified xsi:type="dcterms:W3CDTF">2021-07-26T20:08:00Z</dcterms:modified>
</cp:coreProperties>
</file>